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7BD67B0" w14:textId="663FBF59" w:rsidR="00AA1AFE" w:rsidRPr="00C863F3" w:rsidRDefault="00DE3F83" w:rsidP="00C863F3">
      <w:pPr>
        <w:spacing w:after="0"/>
        <w:jc w:val="both"/>
        <w:rPr>
          <w:rFonts w:ascii="Century Gothic" w:eastAsia="Century Gothic" w:hAnsi="Century Gothic" w:cs="Century Gothic"/>
          <w:b/>
          <w:color w:val="002060"/>
        </w:rPr>
      </w:pPr>
      <w:r>
        <w:rPr>
          <w:rFonts w:ascii="Century Gothic" w:eastAsia="Century Gothic" w:hAnsi="Century Gothic" w:cs="Century Gothic"/>
          <w:b/>
          <w:color w:val="002060"/>
        </w:rPr>
        <w:t>VITKOVIA CENTRUM</w:t>
      </w:r>
      <w:r w:rsidR="009E3591" w:rsidRPr="00C863F3">
        <w:rPr>
          <w:rFonts w:ascii="Century Gothic" w:eastAsia="Century Gothic" w:hAnsi="Century Gothic" w:cs="Century Gothic"/>
          <w:b/>
          <w:color w:val="002060"/>
        </w:rPr>
        <w:t xml:space="preserve"> mění tvář Žižkova, </w:t>
      </w:r>
      <w:r w:rsidR="006052EF">
        <w:rPr>
          <w:rFonts w:ascii="Century Gothic" w:eastAsia="Century Gothic" w:hAnsi="Century Gothic" w:cs="Century Gothic"/>
          <w:b/>
          <w:color w:val="002060"/>
        </w:rPr>
        <w:t xml:space="preserve">její </w:t>
      </w:r>
      <w:r w:rsidR="009E3591" w:rsidRPr="00C863F3">
        <w:rPr>
          <w:rFonts w:ascii="Century Gothic" w:eastAsia="Century Gothic" w:hAnsi="Century Gothic" w:cs="Century Gothic"/>
          <w:b/>
          <w:color w:val="002060"/>
        </w:rPr>
        <w:t>exkluzivní byty</w:t>
      </w:r>
      <w:r w:rsidR="006052EF">
        <w:rPr>
          <w:rFonts w:ascii="Century Gothic" w:eastAsia="Century Gothic" w:hAnsi="Century Gothic" w:cs="Century Gothic"/>
          <w:b/>
          <w:color w:val="002060"/>
        </w:rPr>
        <w:t xml:space="preserve"> jsou právě</w:t>
      </w:r>
      <w:r w:rsidR="009E3591" w:rsidRPr="00C863F3">
        <w:rPr>
          <w:rFonts w:ascii="Century Gothic" w:eastAsia="Century Gothic" w:hAnsi="Century Gothic" w:cs="Century Gothic"/>
          <w:b/>
          <w:color w:val="002060"/>
        </w:rPr>
        <w:t xml:space="preserve"> na prodej</w:t>
      </w:r>
      <w:r w:rsidR="006052EF">
        <w:rPr>
          <w:rFonts w:ascii="Century Gothic" w:eastAsia="Century Gothic" w:hAnsi="Century Gothic" w:cs="Century Gothic"/>
          <w:b/>
          <w:color w:val="002060"/>
        </w:rPr>
        <w:t xml:space="preserve"> </w:t>
      </w:r>
    </w:p>
    <w:p w14:paraId="283F805D" w14:textId="77777777" w:rsidR="00AA1AFE" w:rsidRPr="00C863F3" w:rsidRDefault="00AA1AFE" w:rsidP="00C863F3">
      <w:pPr>
        <w:spacing w:after="0"/>
        <w:jc w:val="both"/>
        <w:rPr>
          <w:rFonts w:ascii="Century Gothic" w:eastAsia="Century Gothic" w:hAnsi="Century Gothic" w:cs="Century Gothic"/>
          <w:b/>
          <w:color w:val="002060"/>
        </w:rPr>
      </w:pPr>
    </w:p>
    <w:p w14:paraId="12EEEBB5" w14:textId="4F39F8D7" w:rsidR="00AA1AFE" w:rsidRPr="00C863F3" w:rsidRDefault="009E3591" w:rsidP="00C863F3">
      <w:pPr>
        <w:spacing w:after="0"/>
        <w:jc w:val="both"/>
        <w:rPr>
          <w:rFonts w:ascii="Century Gothic" w:eastAsia="Century Gothic" w:hAnsi="Century Gothic" w:cs="Century Gothic"/>
        </w:rPr>
      </w:pPr>
      <w:r w:rsidRPr="00C863F3">
        <w:rPr>
          <w:rFonts w:ascii="Century Gothic" w:eastAsia="Century Gothic" w:hAnsi="Century Gothic" w:cs="Century Gothic"/>
          <w:b/>
        </w:rPr>
        <w:t xml:space="preserve">Praha, </w:t>
      </w:r>
      <w:r w:rsidR="006E1B41">
        <w:rPr>
          <w:rFonts w:ascii="Century Gothic" w:eastAsia="Century Gothic" w:hAnsi="Century Gothic" w:cs="Century Gothic"/>
          <w:b/>
        </w:rPr>
        <w:t>28</w:t>
      </w:r>
      <w:r w:rsidRPr="00C863F3">
        <w:rPr>
          <w:rFonts w:ascii="Century Gothic" w:eastAsia="Century Gothic" w:hAnsi="Century Gothic" w:cs="Century Gothic"/>
          <w:b/>
        </w:rPr>
        <w:t xml:space="preserve">. </w:t>
      </w:r>
      <w:r w:rsidR="006E1B41">
        <w:rPr>
          <w:rFonts w:ascii="Century Gothic" w:eastAsia="Century Gothic" w:hAnsi="Century Gothic" w:cs="Century Gothic"/>
          <w:b/>
        </w:rPr>
        <w:t>07</w:t>
      </w:r>
      <w:r w:rsidRPr="00C863F3">
        <w:rPr>
          <w:rFonts w:ascii="Century Gothic" w:eastAsia="Century Gothic" w:hAnsi="Century Gothic" w:cs="Century Gothic"/>
          <w:b/>
        </w:rPr>
        <w:t xml:space="preserve">. </w:t>
      </w:r>
      <w:r w:rsidR="006E1B41">
        <w:rPr>
          <w:rFonts w:ascii="Century Gothic" w:eastAsia="Century Gothic" w:hAnsi="Century Gothic" w:cs="Century Gothic"/>
          <w:b/>
        </w:rPr>
        <w:t>2022</w:t>
      </w:r>
      <w:r w:rsidRPr="00C863F3">
        <w:rPr>
          <w:rFonts w:ascii="Century Gothic" w:eastAsia="Century Gothic" w:hAnsi="Century Gothic" w:cs="Century Gothic"/>
          <w:b/>
        </w:rPr>
        <w:t xml:space="preserve">: Nový </w:t>
      </w:r>
      <w:r w:rsidR="00665B7E">
        <w:rPr>
          <w:rFonts w:ascii="Century Gothic" w:eastAsia="Century Gothic" w:hAnsi="Century Gothic" w:cs="Century Gothic"/>
          <w:b/>
        </w:rPr>
        <w:t>designový</w:t>
      </w:r>
      <w:r w:rsidRPr="00C863F3">
        <w:rPr>
          <w:rFonts w:ascii="Century Gothic" w:eastAsia="Century Gothic" w:hAnsi="Century Gothic" w:cs="Century Gothic"/>
          <w:b/>
        </w:rPr>
        <w:t xml:space="preserve"> dům </w:t>
      </w:r>
      <w:proofErr w:type="spellStart"/>
      <w:r w:rsidRPr="00C863F3">
        <w:rPr>
          <w:rFonts w:ascii="Century Gothic" w:eastAsia="Century Gothic" w:hAnsi="Century Gothic" w:cs="Century Gothic"/>
          <w:b/>
        </w:rPr>
        <w:t>Vitkovia</w:t>
      </w:r>
      <w:proofErr w:type="spellEnd"/>
      <w:r w:rsidRPr="00C863F3">
        <w:rPr>
          <w:rFonts w:ascii="Century Gothic" w:eastAsia="Century Gothic" w:hAnsi="Century Gothic" w:cs="Century Gothic"/>
          <w:b/>
        </w:rPr>
        <w:t xml:space="preserve"> </w:t>
      </w:r>
      <w:proofErr w:type="spellStart"/>
      <w:r w:rsidRPr="00C863F3">
        <w:rPr>
          <w:rFonts w:ascii="Century Gothic" w:eastAsia="Century Gothic" w:hAnsi="Century Gothic" w:cs="Century Gothic"/>
          <w:b/>
        </w:rPr>
        <w:t>Cetrum</w:t>
      </w:r>
      <w:proofErr w:type="spellEnd"/>
      <w:r w:rsidRPr="00C863F3">
        <w:rPr>
          <w:rFonts w:ascii="Century Gothic" w:eastAsia="Century Gothic" w:hAnsi="Century Gothic" w:cs="Century Gothic"/>
          <w:b/>
        </w:rPr>
        <w:t xml:space="preserve"> </w:t>
      </w:r>
      <w:r w:rsidR="00C863F3" w:rsidRPr="00C863F3">
        <w:rPr>
          <w:rFonts w:ascii="Century Gothic" w:eastAsia="Century Gothic" w:hAnsi="Century Gothic" w:cs="Century Gothic"/>
          <w:b/>
        </w:rPr>
        <w:t>na Praze 3</w:t>
      </w:r>
      <w:r w:rsidRPr="00C863F3">
        <w:rPr>
          <w:rFonts w:ascii="Century Gothic" w:eastAsia="Century Gothic" w:hAnsi="Century Gothic" w:cs="Century Gothic"/>
          <w:b/>
        </w:rPr>
        <w:t xml:space="preserve"> nabízí byty s fantastickým výhledem na Prahu, ateliéry i kance</w:t>
      </w:r>
      <w:r w:rsidR="00C863F3" w:rsidRPr="00C863F3">
        <w:rPr>
          <w:rFonts w:ascii="Century Gothic" w:eastAsia="Century Gothic" w:hAnsi="Century Gothic" w:cs="Century Gothic"/>
          <w:b/>
        </w:rPr>
        <w:t>lářské prostory. Bezproblémové parkování na Žižkově je zajištěno díky podzemním garážím přímo v domě. Projekt bude dokončen</w:t>
      </w:r>
      <w:r w:rsidRPr="00C863F3">
        <w:rPr>
          <w:rFonts w:ascii="Century Gothic" w:eastAsia="Century Gothic" w:hAnsi="Century Gothic" w:cs="Century Gothic"/>
          <w:b/>
        </w:rPr>
        <w:t xml:space="preserve"> </w:t>
      </w:r>
      <w:r w:rsidR="00DE3F83">
        <w:rPr>
          <w:rFonts w:ascii="Century Gothic" w:eastAsia="Century Gothic" w:hAnsi="Century Gothic" w:cs="Century Gothic"/>
          <w:b/>
        </w:rPr>
        <w:t xml:space="preserve">ve </w:t>
      </w:r>
      <w:r w:rsidR="00E61202">
        <w:rPr>
          <w:rFonts w:ascii="Century Gothic" w:eastAsia="Century Gothic" w:hAnsi="Century Gothic" w:cs="Century Gothic"/>
          <w:b/>
        </w:rPr>
        <w:t>4</w:t>
      </w:r>
      <w:r w:rsidRPr="00C863F3">
        <w:rPr>
          <w:rFonts w:ascii="Century Gothic" w:eastAsia="Century Gothic" w:hAnsi="Century Gothic" w:cs="Century Gothic"/>
          <w:b/>
        </w:rPr>
        <w:t>.</w:t>
      </w:r>
      <w:r w:rsidR="00C863F3" w:rsidRPr="00C863F3">
        <w:rPr>
          <w:rFonts w:ascii="Century Gothic" w:eastAsia="Century Gothic" w:hAnsi="Century Gothic" w:cs="Century Gothic"/>
          <w:b/>
        </w:rPr>
        <w:t xml:space="preserve"> kvartálu roku 2023 a e</w:t>
      </w:r>
      <w:r w:rsidRPr="00C863F3">
        <w:rPr>
          <w:rFonts w:ascii="Century Gothic" w:eastAsia="Century Gothic" w:hAnsi="Century Gothic" w:cs="Century Gothic"/>
          <w:b/>
        </w:rPr>
        <w:t>xkluzivním prodejce</w:t>
      </w:r>
      <w:r w:rsidR="00DE3F83">
        <w:rPr>
          <w:rFonts w:ascii="Century Gothic" w:eastAsia="Century Gothic" w:hAnsi="Century Gothic" w:cs="Century Gothic"/>
          <w:b/>
        </w:rPr>
        <w:t>m</w:t>
      </w:r>
      <w:r w:rsidRPr="00C863F3">
        <w:rPr>
          <w:rFonts w:ascii="Century Gothic" w:eastAsia="Century Gothic" w:hAnsi="Century Gothic" w:cs="Century Gothic"/>
          <w:b/>
        </w:rPr>
        <w:t xml:space="preserve"> bytů je pražská realitní kancelář LEXXUS.</w:t>
      </w:r>
    </w:p>
    <w:p w14:paraId="72D52CAF" w14:textId="77777777" w:rsidR="00AA1AFE" w:rsidRPr="00C863F3" w:rsidRDefault="00AA1AFE" w:rsidP="00C863F3">
      <w:pPr>
        <w:spacing w:after="0"/>
        <w:jc w:val="both"/>
        <w:rPr>
          <w:rFonts w:ascii="Century Gothic" w:eastAsia="Century Gothic" w:hAnsi="Century Gothic" w:cs="Century Gothic"/>
        </w:rPr>
      </w:pPr>
    </w:p>
    <w:p w14:paraId="3DE5C50C" w14:textId="23E7D01B" w:rsidR="009E3591" w:rsidRPr="00C863F3" w:rsidRDefault="00665B7E" w:rsidP="00C863F3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Designový</w:t>
      </w:r>
      <w:r w:rsidR="009E3591" w:rsidRPr="00C863F3">
        <w:rPr>
          <w:rFonts w:ascii="Century Gothic" w:hAnsi="Century Gothic"/>
        </w:rPr>
        <w:t xml:space="preserve"> dům </w:t>
      </w:r>
      <w:r w:rsidR="00DE3F83">
        <w:rPr>
          <w:rFonts w:ascii="Century Gothic" w:hAnsi="Century Gothic"/>
        </w:rPr>
        <w:t>VITKOVIA CENTRUM je situován na</w:t>
      </w:r>
      <w:r w:rsidR="009E3591" w:rsidRPr="00C863F3">
        <w:rPr>
          <w:rFonts w:ascii="Century Gothic" w:hAnsi="Century Gothic"/>
        </w:rPr>
        <w:t xml:space="preserve"> Praze 3, v srdci starého Žižkova v těsné blízkosti parku Vítkov. Moderní </w:t>
      </w:r>
      <w:r w:rsidR="00C863F3">
        <w:rPr>
          <w:rFonts w:ascii="Century Gothic" w:hAnsi="Century Gothic"/>
        </w:rPr>
        <w:t>6podlažní dům</w:t>
      </w:r>
      <w:r w:rsidR="009E3591" w:rsidRPr="00C863F3">
        <w:rPr>
          <w:rFonts w:ascii="Century Gothic" w:hAnsi="Century Gothic"/>
        </w:rPr>
        <w:t xml:space="preserve"> </w:t>
      </w:r>
      <w:r w:rsidR="00C863F3">
        <w:rPr>
          <w:rFonts w:ascii="Century Gothic" w:hAnsi="Century Gothic"/>
        </w:rPr>
        <w:t xml:space="preserve">s podkrovím </w:t>
      </w:r>
      <w:r w:rsidR="009E3591" w:rsidRPr="00C863F3">
        <w:rPr>
          <w:rFonts w:ascii="Century Gothic" w:hAnsi="Century Gothic"/>
        </w:rPr>
        <w:t>je</w:t>
      </w:r>
      <w:r w:rsidR="00C863F3">
        <w:rPr>
          <w:rFonts w:ascii="Century Gothic" w:hAnsi="Century Gothic"/>
        </w:rPr>
        <w:t xml:space="preserve"> citlivě zasazený</w:t>
      </w:r>
      <w:r w:rsidR="009E3591" w:rsidRPr="00C863F3">
        <w:rPr>
          <w:rFonts w:ascii="Century Gothic" w:hAnsi="Century Gothic"/>
        </w:rPr>
        <w:t xml:space="preserve"> do původní historické zástavby</w:t>
      </w:r>
      <w:r w:rsidR="00C863F3">
        <w:rPr>
          <w:rFonts w:ascii="Century Gothic" w:hAnsi="Century Gothic"/>
        </w:rPr>
        <w:t xml:space="preserve"> a vytváří harmonický celek. Projekt se n</w:t>
      </w:r>
      <w:r w:rsidR="00DE3F83">
        <w:rPr>
          <w:rFonts w:ascii="Century Gothic" w:hAnsi="Century Gothic"/>
        </w:rPr>
        <w:t>achází</w:t>
      </w:r>
      <w:r w:rsidR="009E3591" w:rsidRPr="00C863F3">
        <w:rPr>
          <w:rFonts w:ascii="Century Gothic" w:hAnsi="Century Gothic"/>
        </w:rPr>
        <w:t xml:space="preserve"> na křižovatce mezi ulicemi Husitská, Pod Vítkovem a Prokopova</w:t>
      </w:r>
      <w:r w:rsidR="00C863F3">
        <w:rPr>
          <w:rFonts w:ascii="Century Gothic" w:hAnsi="Century Gothic"/>
        </w:rPr>
        <w:t>.</w:t>
      </w:r>
    </w:p>
    <w:p w14:paraId="148A5FED" w14:textId="0445C8CB" w:rsidR="009E3591" w:rsidRDefault="00DE3F83" w:rsidP="00C863F3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P</w:t>
      </w:r>
      <w:r w:rsidRPr="00C863F3">
        <w:rPr>
          <w:rFonts w:ascii="Century Gothic" w:hAnsi="Century Gothic"/>
        </w:rPr>
        <w:t xml:space="preserve">řízemí </w:t>
      </w:r>
      <w:r>
        <w:rPr>
          <w:rFonts w:ascii="Century Gothic" w:hAnsi="Century Gothic"/>
        </w:rPr>
        <w:t>domu s prosklenými výlohami je určeno pro komerční využití - kavárny, obchody a služby. Ve 2.</w:t>
      </w:r>
      <w:r w:rsidRPr="00C863F3">
        <w:rPr>
          <w:rFonts w:ascii="Century Gothic" w:hAnsi="Century Gothic"/>
        </w:rPr>
        <w:t xml:space="preserve"> podlaží</w:t>
      </w:r>
      <w:r>
        <w:rPr>
          <w:rFonts w:ascii="Century Gothic" w:hAnsi="Century Gothic"/>
        </w:rPr>
        <w:t xml:space="preserve"> se nachází</w:t>
      </w:r>
      <w:r w:rsidRPr="00C863F3">
        <w:rPr>
          <w:rFonts w:ascii="Century Gothic" w:hAnsi="Century Gothic"/>
        </w:rPr>
        <w:t xml:space="preserve"> kancelářské prostory</w:t>
      </w:r>
      <w:r>
        <w:rPr>
          <w:rFonts w:ascii="Century Gothic" w:hAnsi="Century Gothic"/>
        </w:rPr>
        <w:t xml:space="preserve"> a od 3. </w:t>
      </w:r>
      <w:r w:rsidRPr="00C863F3">
        <w:rPr>
          <w:rFonts w:ascii="Century Gothic" w:hAnsi="Century Gothic"/>
        </w:rPr>
        <w:t xml:space="preserve">podlaží </w:t>
      </w:r>
      <w:r>
        <w:rPr>
          <w:rFonts w:ascii="Century Gothic" w:hAnsi="Century Gothic"/>
        </w:rPr>
        <w:t xml:space="preserve">výš je dům výhradně bytový. </w:t>
      </w:r>
      <w:r w:rsidRPr="00C863F3">
        <w:rPr>
          <w:rFonts w:ascii="Century Gothic" w:hAnsi="Century Gothic"/>
        </w:rPr>
        <w:t>Většina jednotek, včetně kancelářských,</w:t>
      </w:r>
      <w:r>
        <w:rPr>
          <w:rFonts w:ascii="Century Gothic" w:hAnsi="Century Gothic"/>
        </w:rPr>
        <w:t xml:space="preserve"> disponuje</w:t>
      </w:r>
      <w:r w:rsidRPr="00C863F3">
        <w:rPr>
          <w:rFonts w:ascii="Century Gothic" w:hAnsi="Century Gothic"/>
        </w:rPr>
        <w:t xml:space="preserve"> balkóny nebo teras</w:t>
      </w:r>
      <w:r>
        <w:rPr>
          <w:rFonts w:ascii="Century Gothic" w:hAnsi="Century Gothic"/>
        </w:rPr>
        <w:t>ou</w:t>
      </w:r>
      <w:r w:rsidRPr="00C863F3">
        <w:rPr>
          <w:rFonts w:ascii="Century Gothic" w:hAnsi="Century Gothic"/>
        </w:rPr>
        <w:t>.</w:t>
      </w:r>
      <w:r w:rsidRPr="00DE3F83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 xml:space="preserve">Díky podzemním garážím je pro majitele nemovitostí zajištěno bezproblémové parkování 24/7. </w:t>
      </w:r>
    </w:p>
    <w:p w14:paraId="7638C968" w14:textId="10950453" w:rsidR="006052EF" w:rsidRPr="00C863F3" w:rsidRDefault="006052EF" w:rsidP="00C863F3">
      <w:pPr>
        <w:jc w:val="both"/>
        <w:rPr>
          <w:rFonts w:ascii="Century Gothic" w:hAnsi="Century Gothic"/>
        </w:rPr>
      </w:pPr>
      <w:r w:rsidRPr="006052EF">
        <w:rPr>
          <w:rFonts w:ascii="Century Gothic" w:hAnsi="Century Gothic"/>
          <w:i/>
        </w:rPr>
        <w:t>„Je krásné být součástí živelné proměny historické Prahy. Nové projekty obohacují ty původní a naše metropole je krásnější a lepší místo pro život,“</w:t>
      </w:r>
      <w:r>
        <w:rPr>
          <w:rFonts w:ascii="Century Gothic" w:hAnsi="Century Gothic"/>
        </w:rPr>
        <w:t xml:space="preserve"> </w:t>
      </w:r>
      <w:r w:rsidR="00E61202">
        <w:rPr>
          <w:rFonts w:ascii="Century Gothic" w:hAnsi="Century Gothic"/>
        </w:rPr>
        <w:t>Denisa Višňovská</w:t>
      </w:r>
      <w:r>
        <w:rPr>
          <w:rFonts w:ascii="Century Gothic" w:hAnsi="Century Gothic"/>
        </w:rPr>
        <w:t xml:space="preserve"> z LEXXUS a doplňuje: </w:t>
      </w:r>
      <w:r w:rsidRPr="006052EF">
        <w:rPr>
          <w:rFonts w:ascii="Century Gothic" w:hAnsi="Century Gothic"/>
          <w:i/>
        </w:rPr>
        <w:t>“</w:t>
      </w:r>
      <w:r w:rsidR="00DE3F83">
        <w:rPr>
          <w:rFonts w:ascii="Century Gothic" w:hAnsi="Century Gothic"/>
          <w:i/>
        </w:rPr>
        <w:t>VITKOVIA CENTRUM</w:t>
      </w:r>
      <w:r w:rsidRPr="006052EF">
        <w:rPr>
          <w:rFonts w:ascii="Century Gothic" w:hAnsi="Century Gothic"/>
          <w:i/>
        </w:rPr>
        <w:t xml:space="preserve"> je jedním z projektů, na které jsme jako prodejce realit hrdí a věříme, že si najde </w:t>
      </w:r>
      <w:r w:rsidR="00DE3F83">
        <w:rPr>
          <w:rFonts w:ascii="Century Gothic" w:hAnsi="Century Gothic"/>
          <w:i/>
        </w:rPr>
        <w:t>spokojené</w:t>
      </w:r>
      <w:r w:rsidRPr="006052EF">
        <w:rPr>
          <w:rFonts w:ascii="Century Gothic" w:hAnsi="Century Gothic"/>
          <w:i/>
        </w:rPr>
        <w:t xml:space="preserve"> majitele a</w:t>
      </w:r>
      <w:r w:rsidR="00DE3F83">
        <w:rPr>
          <w:rFonts w:ascii="Century Gothic" w:hAnsi="Century Gothic"/>
          <w:i/>
        </w:rPr>
        <w:t xml:space="preserve"> nové</w:t>
      </w:r>
      <w:r w:rsidRPr="006052EF">
        <w:rPr>
          <w:rFonts w:ascii="Century Gothic" w:hAnsi="Century Gothic"/>
          <w:i/>
        </w:rPr>
        <w:t xml:space="preserve"> občany Prahy 3.“</w:t>
      </w:r>
    </w:p>
    <w:p w14:paraId="1B8EC584" w14:textId="77777777" w:rsidR="009E3591" w:rsidRPr="00C863F3" w:rsidRDefault="009E3591" w:rsidP="00C863F3">
      <w:pPr>
        <w:jc w:val="both"/>
        <w:rPr>
          <w:rFonts w:ascii="Century Gothic" w:hAnsi="Century Gothic"/>
        </w:rPr>
      </w:pPr>
    </w:p>
    <w:p w14:paraId="300E8659" w14:textId="77777777" w:rsidR="00CE0A2B" w:rsidRPr="00C863F3" w:rsidRDefault="00CE0A2B" w:rsidP="00C863F3">
      <w:pPr>
        <w:spacing w:line="240" w:lineRule="auto"/>
        <w:jc w:val="both"/>
        <w:rPr>
          <w:rFonts w:ascii="Century Gothic" w:eastAsia="Century Gothic" w:hAnsi="Century Gothic" w:cs="Century Gothic"/>
          <w:b/>
          <w:color w:val="002060"/>
        </w:rPr>
      </w:pPr>
      <w:r w:rsidRPr="00C863F3">
        <w:rPr>
          <w:rFonts w:ascii="Century Gothic" w:eastAsia="Century Gothic" w:hAnsi="Century Gothic" w:cs="Century Gothic"/>
          <w:b/>
          <w:color w:val="002060"/>
        </w:rPr>
        <w:t>O firmě LEXXUS</w:t>
      </w:r>
    </w:p>
    <w:p w14:paraId="1C6D4F7D" w14:textId="7F310063" w:rsidR="00AB14A1" w:rsidRPr="00C863F3" w:rsidRDefault="00AB14A1" w:rsidP="00C863F3">
      <w:pPr>
        <w:spacing w:after="0" w:line="240" w:lineRule="auto"/>
        <w:jc w:val="both"/>
        <w:rPr>
          <w:rFonts w:ascii="Century Gothic" w:eastAsia="Times New Roman" w:hAnsi="Century Gothic" w:cs="Times New Roman"/>
        </w:rPr>
      </w:pPr>
      <w:r w:rsidRPr="00C863F3">
        <w:rPr>
          <w:rFonts w:ascii="Century Gothic" w:eastAsia="Times New Roman" w:hAnsi="Century Gothic" w:cs="Times New Roman"/>
        </w:rPr>
        <w:t>LEXXUS - experti na</w:t>
      </w:r>
      <w:r w:rsidR="002F4CB7" w:rsidRPr="00C863F3">
        <w:rPr>
          <w:rFonts w:ascii="Century Gothic" w:eastAsia="Times New Roman" w:hAnsi="Century Gothic" w:cs="Times New Roman"/>
        </w:rPr>
        <w:t xml:space="preserve"> </w:t>
      </w:r>
      <w:r w:rsidR="004A4D2D" w:rsidRPr="00C863F3">
        <w:rPr>
          <w:rFonts w:ascii="Century Gothic" w:eastAsia="Times New Roman" w:hAnsi="Century Gothic" w:cs="Times New Roman"/>
        </w:rPr>
        <w:t>novostavby</w:t>
      </w:r>
    </w:p>
    <w:p w14:paraId="288F2256" w14:textId="77777777" w:rsidR="00AB14A1" w:rsidRPr="00C863F3" w:rsidRDefault="00AB14A1" w:rsidP="00C863F3">
      <w:pPr>
        <w:spacing w:after="0" w:line="240" w:lineRule="auto"/>
        <w:jc w:val="both"/>
        <w:rPr>
          <w:rFonts w:ascii="Century Gothic" w:eastAsia="Times New Roman" w:hAnsi="Century Gothic" w:cs="Times New Roman"/>
        </w:rPr>
      </w:pPr>
    </w:p>
    <w:p w14:paraId="1625125D" w14:textId="77777777" w:rsidR="00AB14A1" w:rsidRPr="00C863F3" w:rsidRDefault="00AB14A1" w:rsidP="00C863F3">
      <w:pPr>
        <w:spacing w:line="253" w:lineRule="atLeast"/>
        <w:jc w:val="both"/>
        <w:rPr>
          <w:rFonts w:ascii="Century Gothic" w:eastAsia="Times New Roman" w:hAnsi="Century Gothic" w:cs="Arial"/>
        </w:rPr>
      </w:pPr>
      <w:r w:rsidRPr="00C863F3">
        <w:rPr>
          <w:rFonts w:ascii="Century Gothic" w:eastAsia="Times New Roman" w:hAnsi="Century Gothic" w:cs="Arial"/>
        </w:rPr>
        <w:t>LEXXUS nabízí širokou nabídku nových bytů v developerských projektech, rodinných domů a pozemků v Praze a okolí. Již od roku 1993 se specializuje na nové byty a je jejich největším prodejcem mezi pražskými realitními kancelářemi. LEXXUS je oblíbenou volbou náročných klientů, požadujících vysokou kvalitu služeb a nabídky. </w:t>
      </w:r>
    </w:p>
    <w:p w14:paraId="273E3A73" w14:textId="77777777" w:rsidR="00AB14A1" w:rsidRPr="00C863F3" w:rsidRDefault="00AB14A1" w:rsidP="00C863F3">
      <w:pPr>
        <w:spacing w:after="0" w:line="240" w:lineRule="auto"/>
        <w:jc w:val="both"/>
        <w:rPr>
          <w:rFonts w:ascii="Century Gothic" w:eastAsia="Times New Roman" w:hAnsi="Century Gothic" w:cs="Times New Roman"/>
        </w:rPr>
      </w:pPr>
      <w:r w:rsidRPr="00C863F3">
        <w:rPr>
          <w:rFonts w:ascii="Century Gothic" w:eastAsia="Times New Roman" w:hAnsi="Century Gothic" w:cs="Times New Roman"/>
        </w:rPr>
        <w:t xml:space="preserve">LEXXUS se rovněž specializuje na </w:t>
      </w:r>
      <w:proofErr w:type="spellStart"/>
      <w:r w:rsidRPr="00C863F3">
        <w:rPr>
          <w:rFonts w:ascii="Century Gothic" w:eastAsia="Times New Roman" w:hAnsi="Century Gothic" w:cs="Times New Roman"/>
        </w:rPr>
        <w:t>consultingové</w:t>
      </w:r>
      <w:proofErr w:type="spellEnd"/>
      <w:r w:rsidRPr="00C863F3">
        <w:rPr>
          <w:rFonts w:ascii="Century Gothic" w:eastAsia="Times New Roman" w:hAnsi="Century Gothic" w:cs="Times New Roman"/>
        </w:rPr>
        <w:t xml:space="preserve"> služby spojené s přípravou developerských projektů - posouzení celkové koncepce projektu, návrh bytového mixu, standardu vybavení a prodejních cen za účelem maximalizace zisku developera.</w:t>
      </w:r>
    </w:p>
    <w:p w14:paraId="19551E41" w14:textId="77777777" w:rsidR="00AB14A1" w:rsidRPr="00C863F3" w:rsidRDefault="00AB14A1" w:rsidP="00C863F3">
      <w:pPr>
        <w:spacing w:line="253" w:lineRule="atLeast"/>
        <w:jc w:val="both"/>
        <w:rPr>
          <w:rFonts w:ascii="Century Gothic" w:eastAsia="Times New Roman" w:hAnsi="Century Gothic" w:cs="Arial"/>
        </w:rPr>
      </w:pPr>
      <w:r w:rsidRPr="00C863F3">
        <w:rPr>
          <w:rFonts w:ascii="Century Gothic" w:eastAsia="Times New Roman" w:hAnsi="Century Gothic" w:cs="Arial"/>
        </w:rPr>
        <w:t>Součástí realitní kanceláře LEXXUS je značka LEXXUS NORTON, která se zaměřuje na prodej či pronájem výhradně luxusních, nadstandardních rezidenčních nemovitostí v nejlepších lokalitách Prahy a okolí. Do nabídky luxusních domů a bytů v Praze a okolí umisťuje pouze nemovitosti, či developerské projekty, splňující náročná kvalitativní kritéria a klientům poskytujeme odpovídající komplexní a zároveň individuální servis, včetně právního zajištění či poradenství při investování do nemovitostí.</w:t>
      </w:r>
    </w:p>
    <w:p w14:paraId="71765A3C" w14:textId="77777777" w:rsidR="00AB14A1" w:rsidRPr="00C863F3" w:rsidRDefault="00AB14A1" w:rsidP="00C863F3">
      <w:pPr>
        <w:spacing w:line="253" w:lineRule="atLeast"/>
        <w:jc w:val="both"/>
        <w:rPr>
          <w:rFonts w:ascii="Century Gothic" w:eastAsia="Times New Roman" w:hAnsi="Century Gothic" w:cs="Arial"/>
        </w:rPr>
      </w:pPr>
      <w:r w:rsidRPr="00C863F3">
        <w:rPr>
          <w:rFonts w:ascii="Century Gothic" w:eastAsia="Times New Roman" w:hAnsi="Century Gothic" w:cs="Arial"/>
        </w:rPr>
        <w:t xml:space="preserve">Úzce spolupracujeme s mezinárodní společností </w:t>
      </w:r>
      <w:proofErr w:type="spellStart"/>
      <w:r w:rsidRPr="00C863F3">
        <w:rPr>
          <w:rFonts w:ascii="Century Gothic" w:eastAsia="Times New Roman" w:hAnsi="Century Gothic" w:cs="Arial"/>
        </w:rPr>
        <w:t>Savills</w:t>
      </w:r>
      <w:proofErr w:type="spellEnd"/>
      <w:r w:rsidRPr="00C863F3">
        <w:rPr>
          <w:rFonts w:ascii="Century Gothic" w:eastAsia="Times New Roman" w:hAnsi="Century Gothic" w:cs="Arial"/>
        </w:rPr>
        <w:t xml:space="preserve">, jednou z předních světových realitních kanceláří s historií sahající až do roku 1855. Tato jedinečná kombinace mezinárodního realitního poradce a vedoucí místní realitní kanceláře poskytuje </w:t>
      </w:r>
      <w:r w:rsidRPr="00C863F3">
        <w:rPr>
          <w:rFonts w:ascii="Century Gothic" w:eastAsia="Times New Roman" w:hAnsi="Century Gothic" w:cs="Arial"/>
        </w:rPr>
        <w:lastRenderedPageBreak/>
        <w:t xml:space="preserve">kompletní spektrum služeb na realitním trhu. </w:t>
      </w:r>
      <w:proofErr w:type="spellStart"/>
      <w:r w:rsidRPr="00C863F3">
        <w:rPr>
          <w:rFonts w:ascii="Century Gothic" w:eastAsia="Times New Roman" w:hAnsi="Century Gothic" w:cs="Arial"/>
        </w:rPr>
        <w:t>Savills</w:t>
      </w:r>
      <w:proofErr w:type="spellEnd"/>
      <w:r w:rsidRPr="00C863F3">
        <w:rPr>
          <w:rFonts w:ascii="Century Gothic" w:eastAsia="Times New Roman" w:hAnsi="Century Gothic" w:cs="Arial"/>
        </w:rPr>
        <w:t xml:space="preserve"> nabízí širokou škálu specializovaných služeb od investičního poradenství, oceňování, agendy pronájmů a správy nemovitostí přes konzultace v oblasti výstavby a plánování projektů až po průzkum trhu. </w:t>
      </w:r>
      <w:proofErr w:type="spellStart"/>
      <w:r w:rsidRPr="00C863F3">
        <w:rPr>
          <w:rFonts w:ascii="Century Gothic" w:eastAsia="Times New Roman" w:hAnsi="Century Gothic" w:cs="Arial"/>
        </w:rPr>
        <w:t>Savills</w:t>
      </w:r>
      <w:proofErr w:type="spellEnd"/>
      <w:r w:rsidRPr="00C863F3">
        <w:rPr>
          <w:rFonts w:ascii="Century Gothic" w:eastAsia="Times New Roman" w:hAnsi="Century Gothic" w:cs="Arial"/>
        </w:rPr>
        <w:t xml:space="preserve"> patří s více než 600 kancelářemi a 35 000 profesionály po celém světě k předním globálním poradcům v oblasti nemovitostí. V České republice společnost působí od roku 2017.</w:t>
      </w:r>
    </w:p>
    <w:p w14:paraId="45E3F615" w14:textId="5E066D39" w:rsidR="00564C42" w:rsidRPr="00C863F3" w:rsidRDefault="00564C42" w:rsidP="00C863F3">
      <w:pPr>
        <w:jc w:val="both"/>
        <w:rPr>
          <w:rFonts w:ascii="Century Gothic" w:hAnsi="Century Gothic"/>
        </w:rPr>
      </w:pPr>
    </w:p>
    <w:sectPr w:rsidR="00564C42" w:rsidRPr="00C863F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E6B576" w14:textId="77777777" w:rsidR="00AC0C95" w:rsidRDefault="00AC0C95">
      <w:pPr>
        <w:spacing w:after="0" w:line="240" w:lineRule="auto"/>
      </w:pPr>
      <w:r>
        <w:separator/>
      </w:r>
    </w:p>
  </w:endnote>
  <w:endnote w:type="continuationSeparator" w:id="0">
    <w:p w14:paraId="549BF1C5" w14:textId="77777777" w:rsidR="00AC0C95" w:rsidRDefault="00AC0C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6BBA8" w14:textId="77777777" w:rsidR="00A05370" w:rsidRDefault="00A0537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76E5F" w14:textId="77777777" w:rsidR="00A05370" w:rsidRDefault="00A0537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DD6CD" w14:textId="77777777" w:rsidR="00A05370" w:rsidRDefault="00A0537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C1498D" w14:textId="77777777" w:rsidR="00AC0C95" w:rsidRDefault="00AC0C95">
      <w:pPr>
        <w:spacing w:after="0" w:line="240" w:lineRule="auto"/>
      </w:pPr>
      <w:r>
        <w:separator/>
      </w:r>
    </w:p>
  </w:footnote>
  <w:footnote w:type="continuationSeparator" w:id="0">
    <w:p w14:paraId="26BAE731" w14:textId="77777777" w:rsidR="00AC0C95" w:rsidRDefault="00AC0C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44914" w14:textId="77777777" w:rsidR="00CD518F" w:rsidRDefault="00CD518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41233" w14:textId="4584B7D2" w:rsidR="00F4683C" w:rsidRDefault="00CD518F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Arial" w:eastAsia="Arial" w:hAnsi="Arial" w:cs="Arial"/>
        <w:color w:val="000000"/>
        <w:sz w:val="28"/>
        <w:szCs w:val="28"/>
      </w:rPr>
    </w:pPr>
    <w:r>
      <w:rPr>
        <w:rFonts w:ascii="Arial" w:eastAsia="Arial" w:hAnsi="Arial" w:cs="Arial"/>
        <w:noProof/>
        <w:color w:val="000000"/>
        <w:sz w:val="28"/>
        <w:szCs w:val="28"/>
      </w:rPr>
      <w:drawing>
        <wp:anchor distT="0" distB="0" distL="114300" distR="114300" simplePos="0" relativeHeight="251659264" behindDoc="0" locked="0" layoutInCell="1" allowOverlap="1" wp14:anchorId="6DA4DDD9" wp14:editId="68CE55C7">
          <wp:simplePos x="0" y="0"/>
          <wp:positionH relativeFrom="margin">
            <wp:posOffset>3958677</wp:posOffset>
          </wp:positionH>
          <wp:positionV relativeFrom="margin">
            <wp:posOffset>-871264</wp:posOffset>
          </wp:positionV>
          <wp:extent cx="1845945" cy="770890"/>
          <wp:effectExtent l="0" t="0" r="0" b="3810"/>
          <wp:wrapSquare wrapText="bothSides"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EXXUS_Savills_LON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5945" cy="770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13EB6">
      <w:rPr>
        <w:rFonts w:ascii="Arial" w:eastAsia="Arial" w:hAnsi="Arial" w:cs="Arial"/>
        <w:color w:val="000000"/>
        <w:sz w:val="28"/>
        <w:szCs w:val="28"/>
      </w:rPr>
      <w:t>TISKOVÁ ZPRÁVA</w:t>
    </w:r>
  </w:p>
  <w:p w14:paraId="664B0F8F" w14:textId="77777777" w:rsidR="00F4683C" w:rsidRDefault="00F4683C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20"/>
        <w:szCs w:val="20"/>
      </w:rPr>
    </w:pPr>
  </w:p>
  <w:p w14:paraId="68A0C367" w14:textId="40D9549A" w:rsidR="00F4683C" w:rsidRDefault="00F4683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952AD" w14:textId="77777777" w:rsidR="00CD518F" w:rsidRDefault="00CD518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82668"/>
    <w:multiLevelType w:val="hybridMultilevel"/>
    <w:tmpl w:val="3F120014"/>
    <w:lvl w:ilvl="0" w:tplc="B97EC82E">
      <w:numFmt w:val="bullet"/>
      <w:lvlText w:val="-"/>
      <w:lvlJc w:val="left"/>
      <w:pPr>
        <w:ind w:left="720" w:hanging="360"/>
      </w:pPr>
      <w:rPr>
        <w:rFonts w:ascii="Century Gothic" w:eastAsia="Century Gothic" w:hAnsi="Century Gothic" w:cs="Century Gothic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62A91"/>
    <w:multiLevelType w:val="hybridMultilevel"/>
    <w:tmpl w:val="629EA21E"/>
    <w:lvl w:ilvl="0" w:tplc="E676E900">
      <w:numFmt w:val="bullet"/>
      <w:lvlText w:val="-"/>
      <w:lvlJc w:val="left"/>
      <w:pPr>
        <w:ind w:left="720" w:hanging="360"/>
      </w:pPr>
      <w:rPr>
        <w:rFonts w:ascii="Century Gothic" w:eastAsia="Century Gothic" w:hAnsi="Century Gothic" w:cs="Century Gothic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875F87"/>
    <w:multiLevelType w:val="multilevel"/>
    <w:tmpl w:val="04CAFF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9CD2BAF"/>
    <w:multiLevelType w:val="multilevel"/>
    <w:tmpl w:val="28768A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D4F3C67"/>
    <w:multiLevelType w:val="hybridMultilevel"/>
    <w:tmpl w:val="0B2857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603148"/>
    <w:multiLevelType w:val="multilevel"/>
    <w:tmpl w:val="9C6ED3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88D54E4"/>
    <w:multiLevelType w:val="hybridMultilevel"/>
    <w:tmpl w:val="0B4A62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261CC7"/>
    <w:multiLevelType w:val="hybridMultilevel"/>
    <w:tmpl w:val="44CA8E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E331BC"/>
    <w:multiLevelType w:val="multilevel"/>
    <w:tmpl w:val="77F20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FC6D7B"/>
    <w:multiLevelType w:val="multilevel"/>
    <w:tmpl w:val="95462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CC0E03"/>
    <w:multiLevelType w:val="multilevel"/>
    <w:tmpl w:val="64AA433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7F54E75"/>
    <w:multiLevelType w:val="multilevel"/>
    <w:tmpl w:val="55725B8A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DCC5990"/>
    <w:multiLevelType w:val="hybridMultilevel"/>
    <w:tmpl w:val="74BAA7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442F52"/>
    <w:multiLevelType w:val="hybridMultilevel"/>
    <w:tmpl w:val="2CD2EA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6719E0"/>
    <w:multiLevelType w:val="hybridMultilevel"/>
    <w:tmpl w:val="B52027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8C0317"/>
    <w:multiLevelType w:val="multilevel"/>
    <w:tmpl w:val="86E0C5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6721347B"/>
    <w:multiLevelType w:val="multilevel"/>
    <w:tmpl w:val="024EC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702068"/>
    <w:multiLevelType w:val="hybridMultilevel"/>
    <w:tmpl w:val="E9481214"/>
    <w:lvl w:ilvl="0" w:tplc="01264ACC">
      <w:numFmt w:val="bullet"/>
      <w:lvlText w:val="-"/>
      <w:lvlJc w:val="left"/>
      <w:pPr>
        <w:ind w:left="720" w:hanging="360"/>
      </w:pPr>
      <w:rPr>
        <w:rFonts w:ascii="Century Gothic" w:eastAsia="Century Gothic" w:hAnsi="Century Gothic" w:cs="Century Gothic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1"/>
  </w:num>
  <w:num w:numId="4">
    <w:abstractNumId w:val="15"/>
  </w:num>
  <w:num w:numId="5">
    <w:abstractNumId w:val="10"/>
  </w:num>
  <w:num w:numId="6">
    <w:abstractNumId w:val="7"/>
  </w:num>
  <w:num w:numId="7">
    <w:abstractNumId w:val="13"/>
  </w:num>
  <w:num w:numId="8">
    <w:abstractNumId w:val="2"/>
  </w:num>
  <w:num w:numId="9">
    <w:abstractNumId w:val="3"/>
  </w:num>
  <w:num w:numId="10">
    <w:abstractNumId w:val="6"/>
  </w:num>
  <w:num w:numId="11">
    <w:abstractNumId w:val="0"/>
  </w:num>
  <w:num w:numId="12">
    <w:abstractNumId w:val="14"/>
  </w:num>
  <w:num w:numId="13">
    <w:abstractNumId w:val="4"/>
  </w:num>
  <w:num w:numId="14">
    <w:abstractNumId w:val="17"/>
  </w:num>
  <w:num w:numId="15">
    <w:abstractNumId w:val="12"/>
  </w:num>
  <w:num w:numId="16">
    <w:abstractNumId w:val="9"/>
  </w:num>
  <w:num w:numId="17">
    <w:abstractNumId w:val="16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683C"/>
    <w:rsid w:val="000037B1"/>
    <w:rsid w:val="00015810"/>
    <w:rsid w:val="00026D1E"/>
    <w:rsid w:val="00030FA1"/>
    <w:rsid w:val="00063046"/>
    <w:rsid w:val="00065890"/>
    <w:rsid w:val="00067B32"/>
    <w:rsid w:val="000706B9"/>
    <w:rsid w:val="00075C15"/>
    <w:rsid w:val="000823C5"/>
    <w:rsid w:val="00094E75"/>
    <w:rsid w:val="000C1940"/>
    <w:rsid w:val="000F533D"/>
    <w:rsid w:val="001063E0"/>
    <w:rsid w:val="00111038"/>
    <w:rsid w:val="001148A5"/>
    <w:rsid w:val="00141BA9"/>
    <w:rsid w:val="0014604E"/>
    <w:rsid w:val="00153B2E"/>
    <w:rsid w:val="0015445C"/>
    <w:rsid w:val="00162498"/>
    <w:rsid w:val="001630C7"/>
    <w:rsid w:val="00193DE6"/>
    <w:rsid w:val="001A1D09"/>
    <w:rsid w:val="001A4E8A"/>
    <w:rsid w:val="001E27FE"/>
    <w:rsid w:val="00201F1B"/>
    <w:rsid w:val="00211FF1"/>
    <w:rsid w:val="0022554F"/>
    <w:rsid w:val="00252EC8"/>
    <w:rsid w:val="00254016"/>
    <w:rsid w:val="00255301"/>
    <w:rsid w:val="00282D7E"/>
    <w:rsid w:val="002908B9"/>
    <w:rsid w:val="00296592"/>
    <w:rsid w:val="002A78CD"/>
    <w:rsid w:val="002E4238"/>
    <w:rsid w:val="002E7152"/>
    <w:rsid w:val="002F4CB7"/>
    <w:rsid w:val="002F5FFC"/>
    <w:rsid w:val="0030481A"/>
    <w:rsid w:val="0031629B"/>
    <w:rsid w:val="0032126A"/>
    <w:rsid w:val="00337E84"/>
    <w:rsid w:val="003531D8"/>
    <w:rsid w:val="003755F0"/>
    <w:rsid w:val="00375844"/>
    <w:rsid w:val="0038461D"/>
    <w:rsid w:val="003A4EEF"/>
    <w:rsid w:val="003D42F6"/>
    <w:rsid w:val="00400C27"/>
    <w:rsid w:val="00417214"/>
    <w:rsid w:val="00447076"/>
    <w:rsid w:val="00460AC3"/>
    <w:rsid w:val="00460CCB"/>
    <w:rsid w:val="004952E7"/>
    <w:rsid w:val="004A4D2D"/>
    <w:rsid w:val="004B059B"/>
    <w:rsid w:val="004B305E"/>
    <w:rsid w:val="004E06AC"/>
    <w:rsid w:val="004E6C28"/>
    <w:rsid w:val="004F49E4"/>
    <w:rsid w:val="004F74B8"/>
    <w:rsid w:val="0053026A"/>
    <w:rsid w:val="00543AD4"/>
    <w:rsid w:val="005575BB"/>
    <w:rsid w:val="00561E64"/>
    <w:rsid w:val="00564C42"/>
    <w:rsid w:val="0058142F"/>
    <w:rsid w:val="005A6330"/>
    <w:rsid w:val="005C2835"/>
    <w:rsid w:val="005D5259"/>
    <w:rsid w:val="005E34B1"/>
    <w:rsid w:val="005E77A5"/>
    <w:rsid w:val="006052EF"/>
    <w:rsid w:val="006160C7"/>
    <w:rsid w:val="0064693D"/>
    <w:rsid w:val="00653C25"/>
    <w:rsid w:val="00665B7E"/>
    <w:rsid w:val="00665E96"/>
    <w:rsid w:val="006702AE"/>
    <w:rsid w:val="00673D0A"/>
    <w:rsid w:val="006768CA"/>
    <w:rsid w:val="00684DAA"/>
    <w:rsid w:val="006A715C"/>
    <w:rsid w:val="006E1B41"/>
    <w:rsid w:val="006E3D04"/>
    <w:rsid w:val="006F69E1"/>
    <w:rsid w:val="007412AE"/>
    <w:rsid w:val="007424FB"/>
    <w:rsid w:val="00767028"/>
    <w:rsid w:val="007A27F3"/>
    <w:rsid w:val="007A4392"/>
    <w:rsid w:val="007B1268"/>
    <w:rsid w:val="007D1856"/>
    <w:rsid w:val="007D2D47"/>
    <w:rsid w:val="007D731B"/>
    <w:rsid w:val="00806370"/>
    <w:rsid w:val="0080691C"/>
    <w:rsid w:val="00816C92"/>
    <w:rsid w:val="00843A53"/>
    <w:rsid w:val="00855568"/>
    <w:rsid w:val="00856F72"/>
    <w:rsid w:val="00857125"/>
    <w:rsid w:val="00861CB5"/>
    <w:rsid w:val="00862B89"/>
    <w:rsid w:val="008904E6"/>
    <w:rsid w:val="00895E5F"/>
    <w:rsid w:val="00896DBF"/>
    <w:rsid w:val="008A1CF3"/>
    <w:rsid w:val="008A53C6"/>
    <w:rsid w:val="008D3222"/>
    <w:rsid w:val="008D43EB"/>
    <w:rsid w:val="008F6DC3"/>
    <w:rsid w:val="008F77EC"/>
    <w:rsid w:val="00903B1A"/>
    <w:rsid w:val="00920AA4"/>
    <w:rsid w:val="00934308"/>
    <w:rsid w:val="0095452C"/>
    <w:rsid w:val="009841FD"/>
    <w:rsid w:val="00987480"/>
    <w:rsid w:val="009C27C6"/>
    <w:rsid w:val="009E3591"/>
    <w:rsid w:val="00A05370"/>
    <w:rsid w:val="00A20D0F"/>
    <w:rsid w:val="00A27968"/>
    <w:rsid w:val="00A416CA"/>
    <w:rsid w:val="00A5052F"/>
    <w:rsid w:val="00A64D1E"/>
    <w:rsid w:val="00A937E5"/>
    <w:rsid w:val="00A95B80"/>
    <w:rsid w:val="00AA1AFE"/>
    <w:rsid w:val="00AB14A1"/>
    <w:rsid w:val="00AB3399"/>
    <w:rsid w:val="00AC0C95"/>
    <w:rsid w:val="00AC7102"/>
    <w:rsid w:val="00AD38A1"/>
    <w:rsid w:val="00B35607"/>
    <w:rsid w:val="00B36F0C"/>
    <w:rsid w:val="00B53876"/>
    <w:rsid w:val="00B81811"/>
    <w:rsid w:val="00BA500C"/>
    <w:rsid w:val="00BB50AF"/>
    <w:rsid w:val="00BC146C"/>
    <w:rsid w:val="00BC6A5C"/>
    <w:rsid w:val="00BE75F8"/>
    <w:rsid w:val="00C658CC"/>
    <w:rsid w:val="00C863F3"/>
    <w:rsid w:val="00C91C79"/>
    <w:rsid w:val="00CA0901"/>
    <w:rsid w:val="00CB1CF8"/>
    <w:rsid w:val="00CD249C"/>
    <w:rsid w:val="00CD518F"/>
    <w:rsid w:val="00CE0A2B"/>
    <w:rsid w:val="00CE6E02"/>
    <w:rsid w:val="00D0223D"/>
    <w:rsid w:val="00D045B2"/>
    <w:rsid w:val="00D2635D"/>
    <w:rsid w:val="00D47803"/>
    <w:rsid w:val="00D56CDC"/>
    <w:rsid w:val="00D741D1"/>
    <w:rsid w:val="00D82407"/>
    <w:rsid w:val="00D9155D"/>
    <w:rsid w:val="00DA2B99"/>
    <w:rsid w:val="00DA4B27"/>
    <w:rsid w:val="00DA58DF"/>
    <w:rsid w:val="00DB0343"/>
    <w:rsid w:val="00DB32DC"/>
    <w:rsid w:val="00DE3F83"/>
    <w:rsid w:val="00E11016"/>
    <w:rsid w:val="00E22B39"/>
    <w:rsid w:val="00E61202"/>
    <w:rsid w:val="00E96A3B"/>
    <w:rsid w:val="00EB4D13"/>
    <w:rsid w:val="00EE7886"/>
    <w:rsid w:val="00EF2A46"/>
    <w:rsid w:val="00F019C3"/>
    <w:rsid w:val="00F101F6"/>
    <w:rsid w:val="00F13EB6"/>
    <w:rsid w:val="00F26829"/>
    <w:rsid w:val="00F30633"/>
    <w:rsid w:val="00F4683C"/>
    <w:rsid w:val="00F500E7"/>
    <w:rsid w:val="00F502C7"/>
    <w:rsid w:val="00F54715"/>
    <w:rsid w:val="00F70192"/>
    <w:rsid w:val="00FB4BEA"/>
    <w:rsid w:val="00FB6B53"/>
    <w:rsid w:val="00FC3778"/>
    <w:rsid w:val="00FD542B"/>
    <w:rsid w:val="00FD6ED3"/>
    <w:rsid w:val="00FF1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D421A0"/>
  <w15:docId w15:val="{D521B479-73AA-4C6A-A292-070A16266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spacing w:before="100" w:after="100"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Nadpis2">
    <w:name w:val="heading 2"/>
    <w:basedOn w:val="Normln"/>
    <w:next w:val="Normln"/>
    <w:pPr>
      <w:keepNext/>
      <w:spacing w:before="240" w:after="60"/>
      <w:outlineLvl w:val="1"/>
    </w:pPr>
    <w:rPr>
      <w:b/>
      <w:i/>
      <w:sz w:val="28"/>
      <w:szCs w:val="28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pPr>
      <w:pBdr>
        <w:bottom w:val="single" w:sz="8" w:space="4" w:color="5B9BD5"/>
      </w:pBdr>
      <w:spacing w:after="300" w:line="240" w:lineRule="auto"/>
      <w:contextualSpacing/>
    </w:pPr>
    <w:rPr>
      <w:color w:val="323E4F"/>
      <w:sz w:val="52"/>
      <w:szCs w:val="52"/>
    </w:rPr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Odkaznakoment">
    <w:name w:val="annotation reference"/>
    <w:basedOn w:val="Standardnpsmoodstavce"/>
    <w:uiPriority w:val="99"/>
    <w:semiHidden/>
    <w:unhideWhenUsed/>
    <w:rsid w:val="007D731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D731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D731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D731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D731B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D73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D731B"/>
    <w:rPr>
      <w:rFonts w:ascii="Segoe UI" w:hAnsi="Segoe UI" w:cs="Segoe UI"/>
      <w:sz w:val="18"/>
      <w:szCs w:val="18"/>
    </w:rPr>
  </w:style>
  <w:style w:type="character" w:styleId="Hypertextovodkaz">
    <w:name w:val="Hyperlink"/>
    <w:uiPriority w:val="99"/>
    <w:semiHidden/>
    <w:rsid w:val="00026D1E"/>
    <w:rPr>
      <w:rFonts w:cs="Times New Roman"/>
      <w:color w:val="0000FF"/>
      <w:u w:val="single"/>
    </w:rPr>
  </w:style>
  <w:style w:type="paragraph" w:styleId="Bezmezer">
    <w:name w:val="No Spacing"/>
    <w:qFormat/>
    <w:rsid w:val="00026D1E"/>
    <w:pPr>
      <w:suppressAutoHyphens/>
      <w:spacing w:after="0" w:line="240" w:lineRule="auto"/>
    </w:pPr>
    <w:rPr>
      <w:lang w:eastAsia="ar-SA"/>
    </w:rPr>
  </w:style>
  <w:style w:type="paragraph" w:styleId="Zhlav">
    <w:name w:val="header"/>
    <w:basedOn w:val="Normln"/>
    <w:link w:val="ZhlavChar"/>
    <w:uiPriority w:val="99"/>
    <w:unhideWhenUsed/>
    <w:rsid w:val="001063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063E0"/>
  </w:style>
  <w:style w:type="paragraph" w:styleId="Zpat">
    <w:name w:val="footer"/>
    <w:basedOn w:val="Normln"/>
    <w:link w:val="ZpatChar"/>
    <w:uiPriority w:val="99"/>
    <w:unhideWhenUsed/>
    <w:rsid w:val="001063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063E0"/>
  </w:style>
  <w:style w:type="paragraph" w:styleId="Odstavecseseznamem">
    <w:name w:val="List Paragraph"/>
    <w:basedOn w:val="Normln"/>
    <w:qFormat/>
    <w:rsid w:val="006A715C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BE75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BA500C"/>
    <w:rPr>
      <w:b/>
      <w:bCs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460A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0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18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6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24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82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1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71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99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11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9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02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432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15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15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47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88156E-3D83-4150-A8ED-1A6DA42E7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462</Words>
  <Characters>2728</Characters>
  <Application>Microsoft Office Word</Application>
  <DocSecurity>0</DocSecurity>
  <Lines>22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KPL</dc:creator>
  <cp:lastModifiedBy>Veronika Kurzová</cp:lastModifiedBy>
  <cp:revision>6</cp:revision>
  <cp:lastPrinted>2022-07-27T11:34:00Z</cp:lastPrinted>
  <dcterms:created xsi:type="dcterms:W3CDTF">2022-07-26T08:59:00Z</dcterms:created>
  <dcterms:modified xsi:type="dcterms:W3CDTF">2022-07-27T11:34:00Z</dcterms:modified>
</cp:coreProperties>
</file>